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5B" w:rsidRDefault="00504C5B" w:rsidP="00086E0F">
      <w:pPr>
        <w:spacing w:after="0" w:line="240" w:lineRule="auto"/>
        <w:jc w:val="both"/>
        <w:rPr>
          <w:rFonts w:ascii="Times New Roman" w:eastAsia="Times New Roman" w:hAnsi="Times New Roman" w:cs="Times New Roman"/>
          <w:b/>
          <w:bCs/>
        </w:rPr>
      </w:pPr>
      <w:bookmarkStart w:id="0" w:name="_GoBack"/>
      <w:r>
        <w:rPr>
          <w:rFonts w:ascii="Times New Roman" w:eastAsia="Times New Roman" w:hAnsi="Times New Roman" w:cs="Times New Roman"/>
          <w:b/>
          <w:bCs/>
        </w:rPr>
        <w:t>C 6</w:t>
      </w:r>
    </w:p>
    <w:p w:rsidR="00086E0F" w:rsidRDefault="00393D1A" w:rsidP="00086E0F">
      <w:pPr>
        <w:spacing w:after="0" w:line="240" w:lineRule="auto"/>
        <w:jc w:val="both"/>
        <w:rPr>
          <w:rFonts w:ascii="Times New Roman" w:eastAsia="Times New Roman" w:hAnsi="Times New Roman" w:cs="Times New Roman"/>
          <w:b/>
          <w:bCs/>
        </w:rPr>
      </w:pPr>
      <w:r w:rsidRPr="00086E0F">
        <w:rPr>
          <w:rFonts w:ascii="Times New Roman" w:eastAsia="Times New Roman" w:hAnsi="Times New Roman" w:cs="Times New Roman"/>
          <w:b/>
          <w:bCs/>
        </w:rPr>
        <w:t>TRATAMIENTO ADYUVANTE CON INHIBIDOR DE AROMATASA EN EL M</w:t>
      </w:r>
      <w:r w:rsidR="00086E0F">
        <w:rPr>
          <w:rFonts w:ascii="Times New Roman" w:eastAsia="Times New Roman" w:hAnsi="Times New Roman" w:cs="Times New Roman"/>
          <w:b/>
          <w:bCs/>
        </w:rPr>
        <w:t>ANEJO DE RECIDIVA DE TUMOR DE CÉ</w:t>
      </w:r>
      <w:r w:rsidRPr="00086E0F">
        <w:rPr>
          <w:rFonts w:ascii="Times New Roman" w:eastAsia="Times New Roman" w:hAnsi="Times New Roman" w:cs="Times New Roman"/>
          <w:b/>
          <w:bCs/>
        </w:rPr>
        <w:t>LULAS DE LA GRANULOSA: REPORTE DE UN CASO</w:t>
      </w:r>
    </w:p>
    <w:p w:rsidR="00086E0F" w:rsidRDefault="00393D1A" w:rsidP="00086E0F">
      <w:pPr>
        <w:spacing w:after="0" w:line="240" w:lineRule="auto"/>
        <w:jc w:val="both"/>
        <w:rPr>
          <w:rFonts w:ascii="Times New Roman" w:eastAsia="Times New Roman" w:hAnsi="Times New Roman" w:cs="Times New Roman"/>
          <w:vertAlign w:val="superscript"/>
        </w:rPr>
      </w:pPr>
      <w:r w:rsidRPr="00086E0F">
        <w:rPr>
          <w:rFonts w:ascii="Times New Roman" w:eastAsia="Times New Roman" w:hAnsi="Times New Roman" w:cs="Times New Roman"/>
        </w:rPr>
        <w:t>Liuba León Hernández</w:t>
      </w:r>
      <w:r w:rsidRPr="00086E0F">
        <w:rPr>
          <w:rFonts w:ascii="Times New Roman" w:eastAsia="Times New Roman" w:hAnsi="Times New Roman" w:cs="Times New Roman"/>
          <w:vertAlign w:val="superscript"/>
        </w:rPr>
        <w:t>1</w:t>
      </w:r>
      <w:r w:rsidRPr="00086E0F">
        <w:rPr>
          <w:rFonts w:ascii="Times New Roman" w:eastAsia="Times New Roman" w:hAnsi="Times New Roman" w:cs="Times New Roman"/>
        </w:rPr>
        <w:t xml:space="preserve">, </w:t>
      </w:r>
      <w:proofErr w:type="spellStart"/>
      <w:r w:rsidRPr="00086E0F">
        <w:rPr>
          <w:rFonts w:ascii="Times New Roman" w:eastAsia="Times New Roman" w:hAnsi="Times New Roman" w:cs="Times New Roman"/>
        </w:rPr>
        <w:t>Raiza</w:t>
      </w:r>
      <w:proofErr w:type="spellEnd"/>
      <w:r w:rsidRPr="00086E0F">
        <w:rPr>
          <w:rFonts w:ascii="Times New Roman" w:eastAsia="Times New Roman" w:hAnsi="Times New Roman" w:cs="Times New Roman"/>
        </w:rPr>
        <w:t xml:space="preserve"> García Lois</w:t>
      </w:r>
      <w:r w:rsidRPr="00086E0F">
        <w:rPr>
          <w:rFonts w:ascii="Times New Roman" w:eastAsia="Times New Roman" w:hAnsi="Times New Roman" w:cs="Times New Roman"/>
          <w:vertAlign w:val="superscript"/>
        </w:rPr>
        <w:t>1</w:t>
      </w:r>
      <w:r w:rsidRPr="00086E0F">
        <w:rPr>
          <w:rFonts w:ascii="Times New Roman" w:eastAsia="Times New Roman" w:hAnsi="Times New Roman" w:cs="Times New Roman"/>
        </w:rPr>
        <w:t>, L</w:t>
      </w:r>
      <w:r w:rsidR="00086E0F">
        <w:rPr>
          <w:rFonts w:ascii="Times New Roman" w:eastAsia="Times New Roman" w:hAnsi="Times New Roman" w:cs="Times New Roman"/>
        </w:rPr>
        <w:t>orena Mosso Gómez</w:t>
      </w:r>
      <w:r w:rsidRPr="00086E0F">
        <w:rPr>
          <w:rFonts w:ascii="Times New Roman" w:eastAsia="Times New Roman" w:hAnsi="Times New Roman" w:cs="Times New Roman"/>
          <w:vertAlign w:val="superscript"/>
        </w:rPr>
        <w:t>1</w:t>
      </w:r>
      <w:r w:rsidRPr="00086E0F">
        <w:rPr>
          <w:rFonts w:ascii="Times New Roman" w:eastAsia="Times New Roman" w:hAnsi="Times New Roman" w:cs="Times New Roman"/>
        </w:rPr>
        <w:t>, P</w:t>
      </w:r>
      <w:r w:rsidR="00086E0F">
        <w:rPr>
          <w:rFonts w:ascii="Times New Roman" w:eastAsia="Times New Roman" w:hAnsi="Times New Roman" w:cs="Times New Roman"/>
        </w:rPr>
        <w:t>aulina Villaseca Délano</w:t>
      </w:r>
      <w:r w:rsidRPr="00086E0F">
        <w:rPr>
          <w:rFonts w:ascii="Times New Roman" w:eastAsia="Times New Roman" w:hAnsi="Times New Roman" w:cs="Times New Roman"/>
          <w:vertAlign w:val="superscript"/>
        </w:rPr>
        <w:t>1</w:t>
      </w:r>
      <w:r w:rsidRPr="00086E0F">
        <w:rPr>
          <w:rFonts w:ascii="Times New Roman" w:eastAsia="Times New Roman" w:hAnsi="Times New Roman" w:cs="Times New Roman"/>
        </w:rPr>
        <w:t>, E</w:t>
      </w:r>
      <w:r w:rsidR="00086E0F">
        <w:rPr>
          <w:rFonts w:ascii="Times New Roman" w:eastAsia="Times New Roman" w:hAnsi="Times New Roman" w:cs="Times New Roman"/>
        </w:rPr>
        <w:t>ugenio Arteaga Urzúa</w:t>
      </w:r>
      <w:r w:rsidRPr="00086E0F">
        <w:rPr>
          <w:rFonts w:ascii="Times New Roman" w:eastAsia="Times New Roman" w:hAnsi="Times New Roman" w:cs="Times New Roman"/>
          <w:vertAlign w:val="superscript"/>
        </w:rPr>
        <w:t>2</w:t>
      </w:r>
      <w:r w:rsidRPr="00086E0F">
        <w:rPr>
          <w:rFonts w:ascii="Times New Roman" w:eastAsia="Times New Roman" w:hAnsi="Times New Roman" w:cs="Times New Roman"/>
        </w:rPr>
        <w:t>, A</w:t>
      </w:r>
      <w:r w:rsidR="00086E0F">
        <w:rPr>
          <w:rFonts w:ascii="Times New Roman" w:eastAsia="Times New Roman" w:hAnsi="Times New Roman" w:cs="Times New Roman"/>
        </w:rPr>
        <w:t>lejandra Martínez García</w:t>
      </w:r>
      <w:r w:rsidRPr="00086E0F">
        <w:rPr>
          <w:rFonts w:ascii="Times New Roman" w:eastAsia="Times New Roman" w:hAnsi="Times New Roman" w:cs="Times New Roman"/>
          <w:vertAlign w:val="superscript"/>
        </w:rPr>
        <w:t>1</w:t>
      </w:r>
    </w:p>
    <w:p w:rsidR="00086E0F" w:rsidRDefault="00393D1A" w:rsidP="00086E0F">
      <w:pPr>
        <w:spacing w:after="0" w:line="240" w:lineRule="auto"/>
        <w:jc w:val="both"/>
        <w:rPr>
          <w:rFonts w:ascii="Times New Roman" w:eastAsia="Times New Roman" w:hAnsi="Times New Roman" w:cs="Times New Roman"/>
        </w:rPr>
      </w:pPr>
      <w:r w:rsidRPr="00086E0F">
        <w:rPr>
          <w:rFonts w:ascii="Times New Roman" w:eastAsia="Times New Roman" w:hAnsi="Times New Roman" w:cs="Times New Roman"/>
          <w:vertAlign w:val="superscript"/>
        </w:rPr>
        <w:t>1</w:t>
      </w:r>
      <w:r w:rsidRPr="00086E0F">
        <w:rPr>
          <w:rFonts w:ascii="Times New Roman" w:eastAsia="Times New Roman" w:hAnsi="Times New Roman" w:cs="Times New Roman"/>
        </w:rPr>
        <w:t xml:space="preserve">Pontificia Universidad Católica de Chile, </w:t>
      </w:r>
      <w:r w:rsidRPr="00086E0F">
        <w:rPr>
          <w:rFonts w:ascii="Times New Roman" w:eastAsia="Times New Roman" w:hAnsi="Times New Roman" w:cs="Times New Roman"/>
          <w:vertAlign w:val="superscript"/>
        </w:rPr>
        <w:t>2</w:t>
      </w:r>
      <w:r w:rsidRPr="00086E0F">
        <w:rPr>
          <w:rFonts w:ascii="Times New Roman" w:eastAsia="Times New Roman" w:hAnsi="Times New Roman" w:cs="Times New Roman"/>
        </w:rPr>
        <w:t xml:space="preserve">Hospital Clínico </w:t>
      </w:r>
      <w:r w:rsidR="00086E0F">
        <w:rPr>
          <w:rFonts w:ascii="Times New Roman" w:eastAsia="Times New Roman" w:hAnsi="Times New Roman" w:cs="Times New Roman"/>
        </w:rPr>
        <w:t xml:space="preserve">Pontificia </w:t>
      </w:r>
      <w:r w:rsidRPr="00086E0F">
        <w:rPr>
          <w:rFonts w:ascii="Times New Roman" w:eastAsia="Times New Roman" w:hAnsi="Times New Roman" w:cs="Times New Roman"/>
        </w:rPr>
        <w:t xml:space="preserve">Universidad </w:t>
      </w:r>
      <w:r w:rsidR="00086E0F" w:rsidRPr="00086E0F">
        <w:rPr>
          <w:rFonts w:ascii="Times New Roman" w:eastAsia="Times New Roman" w:hAnsi="Times New Roman" w:cs="Times New Roman"/>
        </w:rPr>
        <w:t>Católica</w:t>
      </w:r>
      <w:r w:rsidR="00086E0F">
        <w:rPr>
          <w:rFonts w:ascii="Times New Roman" w:eastAsia="Times New Roman" w:hAnsi="Times New Roman" w:cs="Times New Roman"/>
        </w:rPr>
        <w:t xml:space="preserve"> de Chile</w:t>
      </w:r>
    </w:p>
    <w:p w:rsidR="00F14747" w:rsidRPr="00086E0F" w:rsidRDefault="00393D1A" w:rsidP="00086E0F">
      <w:pPr>
        <w:spacing w:after="0" w:line="240" w:lineRule="auto"/>
        <w:jc w:val="both"/>
        <w:rPr>
          <w:rFonts w:ascii="Times New Roman" w:eastAsia="Times New Roman" w:hAnsi="Times New Roman" w:cs="Times New Roman"/>
        </w:rPr>
      </w:pPr>
      <w:r w:rsidRPr="00086E0F">
        <w:rPr>
          <w:rFonts w:ascii="Times New Roman" w:eastAsia="Times New Roman" w:hAnsi="Times New Roman" w:cs="Times New Roman"/>
          <w:b/>
          <w:bCs/>
        </w:rPr>
        <w:t xml:space="preserve">Contenido: </w:t>
      </w:r>
    </w:p>
    <w:p w:rsidR="00F14747" w:rsidRPr="00086E0F" w:rsidRDefault="00393D1A" w:rsidP="00086E0F">
      <w:pPr>
        <w:pStyle w:val="NormalWeb"/>
        <w:spacing w:before="0" w:beforeAutospacing="0" w:after="0" w:afterAutospacing="0"/>
        <w:jc w:val="both"/>
        <w:rPr>
          <w:sz w:val="22"/>
          <w:szCs w:val="22"/>
        </w:rPr>
      </w:pPr>
      <w:r w:rsidRPr="00086E0F">
        <w:rPr>
          <w:sz w:val="22"/>
          <w:szCs w:val="22"/>
        </w:rPr>
        <w:t xml:space="preserve">Los tumores ováricos de las células de la granulosa (TOCG) son tumores infrecuentes que se caracterizan por su elevada recurrencia. QMT y RDT, tienen eficacia limitada con efectos adversos significativos; y los inhibidores de aromatasa (IA) han surgido como alternativa. Presentamos un caso de recidiva de TOCG productor de </w:t>
      </w:r>
      <w:proofErr w:type="spellStart"/>
      <w:r w:rsidRPr="00086E0F">
        <w:rPr>
          <w:sz w:val="22"/>
          <w:szCs w:val="22"/>
        </w:rPr>
        <w:t>Inhibina</w:t>
      </w:r>
      <w:proofErr w:type="spellEnd"/>
      <w:r w:rsidRPr="00086E0F">
        <w:rPr>
          <w:sz w:val="22"/>
          <w:szCs w:val="22"/>
        </w:rPr>
        <w:t>, tratado con IA con buena respuesta.</w:t>
      </w:r>
    </w:p>
    <w:p w:rsidR="00F14747" w:rsidRPr="00086E0F" w:rsidRDefault="00393D1A" w:rsidP="00086E0F">
      <w:pPr>
        <w:pStyle w:val="NormalWeb"/>
        <w:spacing w:before="0" w:beforeAutospacing="0" w:after="0" w:afterAutospacing="0"/>
        <w:jc w:val="both"/>
        <w:rPr>
          <w:sz w:val="22"/>
          <w:szCs w:val="22"/>
        </w:rPr>
      </w:pPr>
      <w:r w:rsidRPr="00086E0F">
        <w:rPr>
          <w:rStyle w:val="Textoennegrita"/>
          <w:sz w:val="22"/>
          <w:szCs w:val="22"/>
        </w:rPr>
        <w:t>Caso:</w:t>
      </w:r>
    </w:p>
    <w:p w:rsidR="00F14747" w:rsidRPr="00086E0F" w:rsidRDefault="00393D1A" w:rsidP="00086E0F">
      <w:pPr>
        <w:pStyle w:val="NormalWeb"/>
        <w:spacing w:before="0" w:beforeAutospacing="0" w:after="0" w:afterAutospacing="0"/>
        <w:jc w:val="both"/>
        <w:rPr>
          <w:sz w:val="22"/>
          <w:szCs w:val="22"/>
        </w:rPr>
      </w:pPr>
      <w:r w:rsidRPr="00086E0F">
        <w:rPr>
          <w:sz w:val="22"/>
          <w:szCs w:val="22"/>
        </w:rPr>
        <w:t xml:space="preserve">Paciente de 46 años, que al año de control por probable amenorrea hipotalámica funcional, se evidencia en ecografía </w:t>
      </w:r>
      <w:proofErr w:type="spellStart"/>
      <w:r w:rsidRPr="00086E0F">
        <w:rPr>
          <w:sz w:val="22"/>
          <w:szCs w:val="22"/>
        </w:rPr>
        <w:t>transvaginal</w:t>
      </w:r>
      <w:proofErr w:type="spellEnd"/>
      <w:r w:rsidRPr="00086E0F">
        <w:rPr>
          <w:sz w:val="22"/>
          <w:szCs w:val="22"/>
        </w:rPr>
        <w:t xml:space="preserve">, una imagen anexial izquierda sólida de 3 cm, </w:t>
      </w:r>
      <w:proofErr w:type="spellStart"/>
      <w:r w:rsidRPr="00086E0F">
        <w:rPr>
          <w:sz w:val="22"/>
          <w:szCs w:val="22"/>
        </w:rPr>
        <w:t>vascularizada</w:t>
      </w:r>
      <w:proofErr w:type="spellEnd"/>
      <w:r w:rsidRPr="00086E0F">
        <w:rPr>
          <w:sz w:val="22"/>
          <w:szCs w:val="22"/>
        </w:rPr>
        <w:t xml:space="preserve"> al doppler (CEA y CA-125 negativos). TAC abdomen y pelvis, sin otros hallazgos.</w:t>
      </w:r>
    </w:p>
    <w:p w:rsidR="00F14747" w:rsidRPr="00086E0F" w:rsidRDefault="00393D1A" w:rsidP="00086E0F">
      <w:pPr>
        <w:pStyle w:val="NormalWeb"/>
        <w:spacing w:before="0" w:beforeAutospacing="0" w:after="0" w:afterAutospacing="0"/>
        <w:jc w:val="both"/>
        <w:rPr>
          <w:sz w:val="22"/>
          <w:szCs w:val="22"/>
        </w:rPr>
      </w:pPr>
      <w:r w:rsidRPr="00086E0F">
        <w:rPr>
          <w:sz w:val="22"/>
          <w:szCs w:val="22"/>
        </w:rPr>
        <w:t xml:space="preserve">Fue tratada con histerectomía y </w:t>
      </w:r>
      <w:proofErr w:type="spellStart"/>
      <w:r w:rsidRPr="00086E0F">
        <w:rPr>
          <w:sz w:val="22"/>
          <w:szCs w:val="22"/>
        </w:rPr>
        <w:t>salpingooforectomía</w:t>
      </w:r>
      <w:proofErr w:type="spellEnd"/>
      <w:r w:rsidRPr="00086E0F">
        <w:rPr>
          <w:sz w:val="22"/>
          <w:szCs w:val="22"/>
        </w:rPr>
        <w:t xml:space="preserve"> bilateral. La biopsia diagnostica: TOCG de tipo adulto de 33x23x23 mm con estudio inmunohistoquímico positivo para </w:t>
      </w:r>
      <w:proofErr w:type="spellStart"/>
      <w:r w:rsidRPr="00086E0F">
        <w:rPr>
          <w:sz w:val="22"/>
          <w:szCs w:val="22"/>
        </w:rPr>
        <w:t>Inhibina</w:t>
      </w:r>
      <w:proofErr w:type="spellEnd"/>
      <w:r w:rsidRPr="00086E0F">
        <w:rPr>
          <w:sz w:val="22"/>
          <w:szCs w:val="22"/>
        </w:rPr>
        <w:t xml:space="preserve"> y CD99, y negativo para AE1/AE3 y EMA.</w:t>
      </w:r>
    </w:p>
    <w:p w:rsidR="00F14747" w:rsidRPr="00086E0F" w:rsidRDefault="00393D1A" w:rsidP="00086E0F">
      <w:pPr>
        <w:pStyle w:val="NormalWeb"/>
        <w:spacing w:before="0" w:beforeAutospacing="0" w:after="0" w:afterAutospacing="0"/>
        <w:jc w:val="both"/>
        <w:rPr>
          <w:sz w:val="22"/>
          <w:szCs w:val="22"/>
        </w:rPr>
      </w:pPr>
      <w:r w:rsidRPr="00086E0F">
        <w:rPr>
          <w:sz w:val="22"/>
          <w:szCs w:val="22"/>
        </w:rPr>
        <w:t xml:space="preserve">Posterior a cirugía, la medición de </w:t>
      </w:r>
      <w:proofErr w:type="spellStart"/>
      <w:r w:rsidRPr="00086E0F">
        <w:rPr>
          <w:sz w:val="22"/>
          <w:szCs w:val="22"/>
        </w:rPr>
        <w:t>Inhibina</w:t>
      </w:r>
      <w:proofErr w:type="spellEnd"/>
      <w:r w:rsidRPr="00086E0F">
        <w:rPr>
          <w:sz w:val="22"/>
          <w:szCs w:val="22"/>
        </w:rPr>
        <w:t xml:space="preserve"> B (IB) fue positiva, con reducción inicial e incremento gradual hasta 102 pg/mL a los 2 años (Tabla 1). Por ello, se realizó RM pelvis que constató adenopatía única ilíaca externa izquierda de 15x10 mm. La cirugía exploratoria demostró implantes a nivel del ligamento infundíbulo-pélvico izquierdo. La biopsia diagnosticó recurrencia de TOCG en el tejido conectivo con inmunohistoquímica positiva para receptores de estrógenos (RE) y progesterona. A las 6 semanas de la cirugía, la IB se mantuvo detectable (Tabla 1).</w:t>
      </w:r>
    </w:p>
    <w:p w:rsidR="00F14747" w:rsidRPr="00086E0F" w:rsidRDefault="00393D1A" w:rsidP="00086E0F">
      <w:pPr>
        <w:pStyle w:val="NormalWeb"/>
        <w:spacing w:before="0" w:beforeAutospacing="0" w:after="0" w:afterAutospacing="0"/>
        <w:jc w:val="both"/>
        <w:rPr>
          <w:sz w:val="22"/>
          <w:szCs w:val="22"/>
        </w:rPr>
      </w:pPr>
      <w:r w:rsidRPr="00086E0F">
        <w:rPr>
          <w:sz w:val="22"/>
          <w:szCs w:val="22"/>
        </w:rPr>
        <w:t xml:space="preserve">En este contexto, se decidió realizar tratamiento con RDT de pelvis (45Gy en 25 fracciones) y </w:t>
      </w:r>
      <w:proofErr w:type="spellStart"/>
      <w:r w:rsidRPr="00086E0F">
        <w:rPr>
          <w:sz w:val="22"/>
          <w:szCs w:val="22"/>
        </w:rPr>
        <w:t>Letrozol</w:t>
      </w:r>
      <w:proofErr w:type="spellEnd"/>
      <w:r w:rsidRPr="00086E0F">
        <w:rPr>
          <w:sz w:val="22"/>
          <w:szCs w:val="22"/>
        </w:rPr>
        <w:t xml:space="preserve"> (2,5 mg/día). Desde el inicio del IA, hace un año 7 meses, no se ha demostrado recurrencia y las concentraciones de IB se hicieron indetectables.</w:t>
      </w:r>
    </w:p>
    <w:p w:rsidR="00F14747" w:rsidRPr="00086E0F" w:rsidRDefault="00393D1A" w:rsidP="00086E0F">
      <w:pPr>
        <w:pStyle w:val="NormalWeb"/>
        <w:spacing w:before="0" w:beforeAutospacing="0" w:after="0" w:afterAutospacing="0"/>
        <w:jc w:val="both"/>
        <w:rPr>
          <w:sz w:val="22"/>
          <w:szCs w:val="22"/>
        </w:rPr>
      </w:pPr>
      <w:r w:rsidRPr="00086E0F">
        <w:rPr>
          <w:b/>
          <w:sz w:val="22"/>
          <w:szCs w:val="22"/>
        </w:rPr>
        <w:t>Tabla 1</w:t>
      </w:r>
      <w:r w:rsidRPr="00086E0F">
        <w:rPr>
          <w:sz w:val="22"/>
          <w:szCs w:val="22"/>
        </w:rPr>
        <w:t xml:space="preserve">. Niveles plasmáticos de </w:t>
      </w:r>
      <w:proofErr w:type="spellStart"/>
      <w:r w:rsidRPr="00086E0F">
        <w:rPr>
          <w:sz w:val="22"/>
          <w:szCs w:val="22"/>
        </w:rPr>
        <w:t>Inhibina</w:t>
      </w:r>
      <w:proofErr w:type="spellEnd"/>
      <w:r w:rsidRPr="00086E0F">
        <w:rPr>
          <w:sz w:val="22"/>
          <w:szCs w:val="22"/>
        </w:rPr>
        <w:t>-B, FSH y Estradiol</w:t>
      </w:r>
    </w:p>
    <w:tbl>
      <w:tblPr>
        <w:tblW w:w="4350" w:type="pct"/>
        <w:tblCellSpacing w:w="15" w:type="dxa"/>
        <w:tblCellMar>
          <w:top w:w="15" w:type="dxa"/>
          <w:left w:w="15" w:type="dxa"/>
          <w:bottom w:w="15" w:type="dxa"/>
          <w:right w:w="15" w:type="dxa"/>
        </w:tblCellMar>
        <w:tblLook w:val="04A0"/>
      </w:tblPr>
      <w:tblGrid>
        <w:gridCol w:w="2799"/>
        <w:gridCol w:w="1782"/>
        <w:gridCol w:w="3186"/>
        <w:gridCol w:w="1916"/>
      </w:tblGrid>
      <w:tr w:rsidR="00F14747" w:rsidRPr="00086E0F">
        <w:trPr>
          <w:tblCellSpacing w:w="15" w:type="dxa"/>
        </w:trPr>
        <w:tc>
          <w:tcPr>
            <w:tcW w:w="2760"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rStyle w:val="Textoennegrita"/>
                <w:sz w:val="22"/>
                <w:szCs w:val="22"/>
              </w:rPr>
              <w:t>Fecha</w:t>
            </w:r>
          </w:p>
        </w:tc>
        <w:tc>
          <w:tcPr>
            <w:tcW w:w="1755" w:type="dxa"/>
            <w:vAlign w:val="center"/>
            <w:hideMark/>
          </w:tcPr>
          <w:p w:rsidR="00F14747" w:rsidRPr="00086E0F" w:rsidRDefault="00393D1A" w:rsidP="00086E0F">
            <w:pPr>
              <w:pStyle w:val="NormalWeb"/>
              <w:spacing w:before="0" w:beforeAutospacing="0" w:after="0" w:afterAutospacing="0"/>
              <w:jc w:val="both"/>
              <w:rPr>
                <w:sz w:val="22"/>
                <w:szCs w:val="22"/>
              </w:rPr>
            </w:pPr>
            <w:proofErr w:type="spellStart"/>
            <w:r w:rsidRPr="00086E0F">
              <w:rPr>
                <w:rStyle w:val="Textoennegrita"/>
                <w:sz w:val="22"/>
                <w:szCs w:val="22"/>
              </w:rPr>
              <w:t>Inhibina</w:t>
            </w:r>
            <w:proofErr w:type="spellEnd"/>
            <w:r w:rsidRPr="00086E0F">
              <w:rPr>
                <w:rStyle w:val="Textoennegrita"/>
                <w:sz w:val="22"/>
                <w:szCs w:val="22"/>
              </w:rPr>
              <w:t xml:space="preserve">-B </w:t>
            </w:r>
            <w:r w:rsidRPr="00086E0F">
              <w:rPr>
                <w:sz w:val="22"/>
                <w:szCs w:val="22"/>
              </w:rPr>
              <w:br/>
            </w:r>
            <w:r w:rsidRPr="00086E0F">
              <w:rPr>
                <w:rStyle w:val="Textoennegrita"/>
                <w:sz w:val="22"/>
                <w:szCs w:val="22"/>
              </w:rPr>
              <w:t>(≤ 4 pg/mL)</w:t>
            </w:r>
          </w:p>
        </w:tc>
        <w:tc>
          <w:tcPr>
            <w:tcW w:w="316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rStyle w:val="Textoennegrita"/>
                <w:sz w:val="22"/>
                <w:szCs w:val="22"/>
              </w:rPr>
              <w:t xml:space="preserve">FSH </w:t>
            </w:r>
            <w:r w:rsidRPr="00086E0F">
              <w:rPr>
                <w:sz w:val="22"/>
                <w:szCs w:val="22"/>
              </w:rPr>
              <w:br/>
            </w:r>
            <w:r w:rsidRPr="00086E0F">
              <w:rPr>
                <w:rStyle w:val="Textoennegrita"/>
                <w:sz w:val="22"/>
                <w:szCs w:val="22"/>
              </w:rPr>
              <w:t>(25,8 – 134,8 mUI/mL)</w:t>
            </w:r>
          </w:p>
        </w:tc>
        <w:tc>
          <w:tcPr>
            <w:tcW w:w="187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rStyle w:val="Textoennegrita"/>
                <w:sz w:val="22"/>
                <w:szCs w:val="22"/>
              </w:rPr>
              <w:t xml:space="preserve">Estradiol </w:t>
            </w:r>
            <w:r w:rsidRPr="00086E0F">
              <w:rPr>
                <w:sz w:val="22"/>
                <w:szCs w:val="22"/>
              </w:rPr>
              <w:br/>
            </w:r>
            <w:r w:rsidRPr="00086E0F">
              <w:rPr>
                <w:rStyle w:val="Textoennegrita"/>
                <w:sz w:val="22"/>
                <w:szCs w:val="22"/>
              </w:rPr>
              <w:t>(&lt; 5 pg/mL)</w:t>
            </w:r>
          </w:p>
        </w:tc>
      </w:tr>
      <w:tr w:rsidR="00F14747" w:rsidRPr="00086E0F">
        <w:trPr>
          <w:tblCellSpacing w:w="15" w:type="dxa"/>
        </w:trPr>
        <w:tc>
          <w:tcPr>
            <w:tcW w:w="2760"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09/2013</w:t>
            </w:r>
          </w:p>
        </w:tc>
        <w:tc>
          <w:tcPr>
            <w:tcW w:w="175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w:t>
            </w:r>
          </w:p>
        </w:tc>
        <w:tc>
          <w:tcPr>
            <w:tcW w:w="316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4,7</w:t>
            </w:r>
          </w:p>
        </w:tc>
        <w:tc>
          <w:tcPr>
            <w:tcW w:w="187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39</w:t>
            </w:r>
          </w:p>
        </w:tc>
      </w:tr>
      <w:tr w:rsidR="00F14747" w:rsidRPr="00086E0F">
        <w:trPr>
          <w:tblCellSpacing w:w="15" w:type="dxa"/>
        </w:trPr>
        <w:tc>
          <w:tcPr>
            <w:tcW w:w="2760"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07/2014 (</w:t>
            </w:r>
            <w:proofErr w:type="spellStart"/>
            <w:r w:rsidRPr="00086E0F">
              <w:rPr>
                <w:sz w:val="22"/>
                <w:szCs w:val="22"/>
              </w:rPr>
              <w:t>postcirugía</w:t>
            </w:r>
            <w:proofErr w:type="spellEnd"/>
            <w:r w:rsidRPr="00086E0F">
              <w:rPr>
                <w:sz w:val="22"/>
                <w:szCs w:val="22"/>
              </w:rPr>
              <w:t>)</w:t>
            </w:r>
          </w:p>
        </w:tc>
        <w:tc>
          <w:tcPr>
            <w:tcW w:w="175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88</w:t>
            </w:r>
          </w:p>
        </w:tc>
        <w:tc>
          <w:tcPr>
            <w:tcW w:w="316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54</w:t>
            </w:r>
          </w:p>
        </w:tc>
        <w:tc>
          <w:tcPr>
            <w:tcW w:w="187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36</w:t>
            </w:r>
          </w:p>
        </w:tc>
      </w:tr>
      <w:tr w:rsidR="00F14747" w:rsidRPr="00086E0F">
        <w:trPr>
          <w:tblCellSpacing w:w="15" w:type="dxa"/>
        </w:trPr>
        <w:tc>
          <w:tcPr>
            <w:tcW w:w="2760"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12/2014</w:t>
            </w:r>
          </w:p>
        </w:tc>
        <w:tc>
          <w:tcPr>
            <w:tcW w:w="175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36</w:t>
            </w:r>
          </w:p>
        </w:tc>
        <w:tc>
          <w:tcPr>
            <w:tcW w:w="316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w:t>
            </w:r>
          </w:p>
        </w:tc>
        <w:tc>
          <w:tcPr>
            <w:tcW w:w="187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38</w:t>
            </w:r>
          </w:p>
        </w:tc>
      </w:tr>
      <w:tr w:rsidR="00F14747" w:rsidRPr="00086E0F">
        <w:trPr>
          <w:tblCellSpacing w:w="15" w:type="dxa"/>
        </w:trPr>
        <w:tc>
          <w:tcPr>
            <w:tcW w:w="2760"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12/2015</w:t>
            </w:r>
          </w:p>
        </w:tc>
        <w:tc>
          <w:tcPr>
            <w:tcW w:w="175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42</w:t>
            </w:r>
          </w:p>
        </w:tc>
        <w:tc>
          <w:tcPr>
            <w:tcW w:w="316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w:t>
            </w:r>
          </w:p>
        </w:tc>
        <w:tc>
          <w:tcPr>
            <w:tcW w:w="187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50</w:t>
            </w:r>
          </w:p>
        </w:tc>
      </w:tr>
      <w:tr w:rsidR="00F14747" w:rsidRPr="00086E0F">
        <w:trPr>
          <w:tblCellSpacing w:w="15" w:type="dxa"/>
        </w:trPr>
        <w:tc>
          <w:tcPr>
            <w:tcW w:w="2760"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07/2016</w:t>
            </w:r>
          </w:p>
        </w:tc>
        <w:tc>
          <w:tcPr>
            <w:tcW w:w="175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102</w:t>
            </w:r>
          </w:p>
        </w:tc>
        <w:tc>
          <w:tcPr>
            <w:tcW w:w="316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61</w:t>
            </w:r>
          </w:p>
        </w:tc>
        <w:tc>
          <w:tcPr>
            <w:tcW w:w="187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41</w:t>
            </w:r>
          </w:p>
        </w:tc>
      </w:tr>
      <w:tr w:rsidR="00F14747" w:rsidRPr="00086E0F">
        <w:trPr>
          <w:tblCellSpacing w:w="15" w:type="dxa"/>
        </w:trPr>
        <w:tc>
          <w:tcPr>
            <w:tcW w:w="2760"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11/2016 (</w:t>
            </w:r>
            <w:proofErr w:type="spellStart"/>
            <w:r w:rsidRPr="00086E0F">
              <w:rPr>
                <w:sz w:val="22"/>
                <w:szCs w:val="22"/>
              </w:rPr>
              <w:t>postcirugía</w:t>
            </w:r>
            <w:proofErr w:type="spellEnd"/>
            <w:r w:rsidRPr="00086E0F">
              <w:rPr>
                <w:sz w:val="22"/>
                <w:szCs w:val="22"/>
              </w:rPr>
              <w:t>)</w:t>
            </w:r>
          </w:p>
        </w:tc>
        <w:tc>
          <w:tcPr>
            <w:tcW w:w="175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22</w:t>
            </w:r>
          </w:p>
        </w:tc>
        <w:tc>
          <w:tcPr>
            <w:tcW w:w="316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40</w:t>
            </w:r>
          </w:p>
        </w:tc>
        <w:tc>
          <w:tcPr>
            <w:tcW w:w="187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20</w:t>
            </w:r>
          </w:p>
        </w:tc>
      </w:tr>
      <w:tr w:rsidR="00F14747" w:rsidRPr="00086E0F">
        <w:trPr>
          <w:tblCellSpacing w:w="15" w:type="dxa"/>
        </w:trPr>
        <w:tc>
          <w:tcPr>
            <w:tcW w:w="2760"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11/2017</w:t>
            </w:r>
          </w:p>
        </w:tc>
        <w:tc>
          <w:tcPr>
            <w:tcW w:w="175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&lt;2,6</w:t>
            </w:r>
          </w:p>
        </w:tc>
        <w:tc>
          <w:tcPr>
            <w:tcW w:w="316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75</w:t>
            </w:r>
          </w:p>
        </w:tc>
        <w:tc>
          <w:tcPr>
            <w:tcW w:w="187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&lt;5</w:t>
            </w:r>
          </w:p>
        </w:tc>
      </w:tr>
      <w:tr w:rsidR="00F14747" w:rsidRPr="00086E0F">
        <w:trPr>
          <w:tblCellSpacing w:w="15" w:type="dxa"/>
        </w:trPr>
        <w:tc>
          <w:tcPr>
            <w:tcW w:w="2760"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04/2018</w:t>
            </w:r>
          </w:p>
        </w:tc>
        <w:tc>
          <w:tcPr>
            <w:tcW w:w="175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&lt;2,6</w:t>
            </w:r>
          </w:p>
        </w:tc>
        <w:tc>
          <w:tcPr>
            <w:tcW w:w="316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w:t>
            </w:r>
          </w:p>
        </w:tc>
        <w:tc>
          <w:tcPr>
            <w:tcW w:w="1875" w:type="dxa"/>
            <w:vAlign w:val="center"/>
            <w:hideMark/>
          </w:tcPr>
          <w:p w:rsidR="00F14747" w:rsidRPr="00086E0F" w:rsidRDefault="00393D1A" w:rsidP="00086E0F">
            <w:pPr>
              <w:pStyle w:val="NormalWeb"/>
              <w:spacing w:before="0" w:beforeAutospacing="0" w:after="0" w:afterAutospacing="0"/>
              <w:jc w:val="both"/>
              <w:rPr>
                <w:sz w:val="22"/>
                <w:szCs w:val="22"/>
              </w:rPr>
            </w:pPr>
            <w:r w:rsidRPr="00086E0F">
              <w:rPr>
                <w:sz w:val="22"/>
                <w:szCs w:val="22"/>
              </w:rPr>
              <w:t>&lt;5</w:t>
            </w:r>
          </w:p>
        </w:tc>
      </w:tr>
    </w:tbl>
    <w:p w:rsidR="00F14747" w:rsidRPr="00086E0F" w:rsidRDefault="00393D1A" w:rsidP="00086E0F">
      <w:pPr>
        <w:pStyle w:val="NormalWeb"/>
        <w:spacing w:before="0" w:beforeAutospacing="0" w:after="0" w:afterAutospacing="0"/>
        <w:jc w:val="both"/>
        <w:rPr>
          <w:sz w:val="22"/>
          <w:szCs w:val="22"/>
        </w:rPr>
      </w:pPr>
      <w:r w:rsidRPr="00086E0F">
        <w:rPr>
          <w:rStyle w:val="Textoennegrita"/>
          <w:sz w:val="22"/>
          <w:szCs w:val="22"/>
        </w:rPr>
        <w:t>Comentario:</w:t>
      </w:r>
    </w:p>
    <w:p w:rsidR="00F14747" w:rsidRPr="00086E0F" w:rsidRDefault="00393D1A" w:rsidP="00086E0F">
      <w:pPr>
        <w:pStyle w:val="NormalWeb"/>
        <w:spacing w:before="0" w:beforeAutospacing="0" w:after="0" w:afterAutospacing="0"/>
        <w:jc w:val="both"/>
        <w:rPr>
          <w:sz w:val="22"/>
          <w:szCs w:val="22"/>
        </w:rPr>
      </w:pPr>
      <w:r w:rsidRPr="00086E0F">
        <w:rPr>
          <w:sz w:val="22"/>
          <w:szCs w:val="22"/>
        </w:rPr>
        <w:t>No existe un tratamiento estándar para la recurrencia en TOCG. Aunque la evidencia en el uso de IA es variable, se han descrito casos con respuesta transitoria y también persistente.</w:t>
      </w:r>
    </w:p>
    <w:p w:rsidR="00F14747" w:rsidRPr="00086E0F" w:rsidRDefault="00393D1A" w:rsidP="00086E0F">
      <w:pPr>
        <w:pStyle w:val="NormalWeb"/>
        <w:spacing w:before="0" w:beforeAutospacing="0" w:after="0" w:afterAutospacing="0"/>
        <w:jc w:val="both"/>
        <w:rPr>
          <w:sz w:val="22"/>
          <w:szCs w:val="22"/>
        </w:rPr>
      </w:pPr>
      <w:r w:rsidRPr="00086E0F">
        <w:rPr>
          <w:sz w:val="22"/>
          <w:szCs w:val="22"/>
        </w:rPr>
        <w:t>Más del 90% de las pacientes con TOCG de tipo adulto, tienen una mutación específica del factor de transcripción FOXL2 (405C&gt;G) C134W. FOXL2 mutado, se une al promotor de aromatasa produciendo un “up-regulation” de su actividad, lo cual podría promover el desarrollo y progresión de los TOCG. Por tanto, los IA podrían ofrecer ventajas potenciales en estos casos.</w:t>
      </w:r>
    </w:p>
    <w:p w:rsidR="00F14747" w:rsidRPr="00086E0F" w:rsidRDefault="00393D1A" w:rsidP="00086E0F">
      <w:pPr>
        <w:pStyle w:val="NormalWeb"/>
        <w:spacing w:before="0" w:beforeAutospacing="0" w:after="0" w:afterAutospacing="0"/>
        <w:jc w:val="both"/>
        <w:rPr>
          <w:sz w:val="22"/>
          <w:szCs w:val="22"/>
        </w:rPr>
      </w:pPr>
      <w:r w:rsidRPr="00086E0F">
        <w:rPr>
          <w:sz w:val="22"/>
          <w:szCs w:val="22"/>
        </w:rPr>
        <w:t>Nuestra paciente mantiene una excelente respuesta después de 19 meses de inicio de IA, que es reportada como superior en las pacientes con RE positivos en la inmunohistoquímica, pero su búsqueda no es evaluada de rutina en TOCG.</w:t>
      </w:r>
    </w:p>
    <w:p w:rsidR="00F14747" w:rsidRPr="00086E0F" w:rsidRDefault="00393D1A" w:rsidP="00086E0F">
      <w:pPr>
        <w:pStyle w:val="NormalWeb"/>
        <w:spacing w:before="0" w:beforeAutospacing="0" w:after="0" w:afterAutospacing="0"/>
        <w:jc w:val="both"/>
        <w:rPr>
          <w:sz w:val="22"/>
          <w:szCs w:val="22"/>
        </w:rPr>
      </w:pPr>
      <w:r w:rsidRPr="00086E0F">
        <w:rPr>
          <w:sz w:val="22"/>
          <w:szCs w:val="22"/>
        </w:rPr>
        <w:t>Proponemos el uso de IA como parte del manejo de la recurrencia en TOCG de tipo adulto, y sugerimos incorporar la búsqueda dirigida de RE, ya que su presencia podría favorecer la eficacia del IA a largo plazo.</w:t>
      </w:r>
    </w:p>
    <w:p w:rsidR="00393D1A" w:rsidRPr="00086E0F" w:rsidRDefault="00393D1A" w:rsidP="00086E0F">
      <w:pPr>
        <w:spacing w:after="0" w:line="240" w:lineRule="auto"/>
        <w:jc w:val="both"/>
        <w:rPr>
          <w:rFonts w:ascii="Times New Roman" w:eastAsia="Times New Roman" w:hAnsi="Times New Roman" w:cs="Times New Roman"/>
        </w:rPr>
      </w:pPr>
      <w:r w:rsidRPr="00086E0F">
        <w:rPr>
          <w:rFonts w:ascii="Times New Roman" w:eastAsia="Times New Roman" w:hAnsi="Times New Roman" w:cs="Times New Roman"/>
          <w:b/>
          <w:bCs/>
        </w:rPr>
        <w:t xml:space="preserve">Financiamiento: </w:t>
      </w:r>
      <w:r w:rsidRPr="00086E0F">
        <w:rPr>
          <w:rFonts w:ascii="Times New Roman" w:eastAsia="Times New Roman" w:hAnsi="Times New Roman" w:cs="Times New Roman"/>
        </w:rPr>
        <w:t xml:space="preserve">Sin financiamiento </w:t>
      </w:r>
      <w:bookmarkEnd w:id="0"/>
    </w:p>
    <w:sectPr w:rsidR="00393D1A" w:rsidRPr="00086E0F" w:rsidSect="00F14747">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C63C0"/>
    <w:rsid w:val="00086E0F"/>
    <w:rsid w:val="00393D1A"/>
    <w:rsid w:val="003E221B"/>
    <w:rsid w:val="00504C5B"/>
    <w:rsid w:val="00943716"/>
    <w:rsid w:val="00AC63C0"/>
    <w:rsid w:val="00C02E83"/>
    <w:rsid w:val="00F147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14747"/>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F147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524</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5</cp:revision>
  <cp:lastPrinted>2018-08-03T19:44:00Z</cp:lastPrinted>
  <dcterms:created xsi:type="dcterms:W3CDTF">2018-08-03T19:44:00Z</dcterms:created>
  <dcterms:modified xsi:type="dcterms:W3CDTF">2018-09-30T04:27:00Z</dcterms:modified>
</cp:coreProperties>
</file>